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1800"/>
      </w:pPr>
      <w:r>
        <w:drawing>
          <wp:anchor distT="0" distB="0" distL="114300" distR="114300" simplePos="0" relativeHeight="251658240" behindDoc="1" locked="0" layoutInCell="1" allowOverlap="1">
            <wp:simplePos x="0" y="0"/>
            <wp:positionH relativeFrom="page">
              <wp:posOffset>548640</wp:posOffset>
            </wp:positionH>
            <wp:positionV relativeFrom="page">
              <wp:posOffset>365760</wp:posOffset>
            </wp:positionV>
            <wp:extent cx="1005840" cy="1005840"/>
            <wp:effectExtent l="0" t="0" r="0" b="0"/>
            <wp:wrapNone/>
            <wp:docPr id="1" name="HQLogo"/>
            <wp:cNvGraphicFramePr xmlns:a="http://schemas.openxmlformats.org/drawingml/2006/main">
              <a:graphicFrameLocks noChangeAspect="1"/>
            </wp:cNvGraphicFramePr>
            <a:graphic xmlns:a="http://schemas.openxmlformats.org/drawingml/2006/main" xmlns:pic="http://schemas.openxmlformats.org/drawingml/2006/picture">
              <a:graphicData uri="http://schemas.openxmlformats.org/drawingml/2006/picture">
                <pic:pic>
                  <pic:nvPicPr>
                    <pic:cNvPr id="0" name="logo_cover.png"/>
                    <pic:cNvPicPr/>
                  </pic:nvPicPr>
                  <pic:blipFill>
                    <a:blip r:embed="rId16"/>
                    <a:stretch>
                      <a:fillRect/>
                    </a:stretch>
                  </pic:blipFill>
                  <pic:spPr>
                    <a:xfrm>
                      <a:off x="0" y="0"/>
                      <a:ext cx="1005840" cy="1005840"/>
                    </a:xfrm>
                    <a:prstGeom prst="rect"/>
                  </pic:spPr>
                </pic:pic>
              </a:graphicData>
            </a:graphic>
          </wp:anchor>
        </w:drawing>
      </w:r>
    </w:p>
    <w:p>
      <w:pPr>
        <w:spacing w:after="60" w:before="0"/>
        <w:jc w:val="center"/>
      </w:pPr>
      <w:r>
        <w:rPr>
          <w:rFonts w:ascii="Arial" w:cs="Arial" w:eastAsia="楷体" w:hAnsi="Arial"/>
          <w:b/>
          <w:bCs/>
          <w:sz w:val="52"/>
          <w:szCs w:val="52"/>
        </w:rPr>
        <w:t xml:space="preserve">Chinese in Context</w:t>
      </w:r>
    </w:p>
    <w:p>
      <w:pPr>
        <w:spacing w:after="360" w:before="0"/>
        <w:jc w:val="center"/>
      </w:pPr>
      <w:r>
        <w:rPr>
          <w:rFonts w:ascii="Arial" w:cs="Arial" w:eastAsia="楷体" w:hAnsi="Arial"/>
          <w:sz w:val="24"/>
          <w:szCs w:val="24"/>
        </w:rPr>
        <w:t xml:space="preserve">2026 Trial Examination — Set 1</w:t>
      </w:r>
    </w:p>
    <w:p>
      <w:pPr>
        <w:spacing w:after="360" w:before="0"/>
        <w:jc w:val="center"/>
      </w:pPr>
      <w:r>
        <w:rPr>
          <w:rFonts w:ascii="Arial" w:cs="Arial" w:eastAsia="楷体" w:hAnsi="Arial"/>
          <w:b/>
          <w:bCs/>
          <w:sz w:val="32"/>
          <w:szCs w:val="32"/>
        </w:rPr>
        <w:t xml:space="preserve">Marking Guidelines</w:t>
      </w:r>
    </w:p>
    <w:p>
      <w:pPr>
        <w:sectPr>
          <w:headerReference w:type="default" r:id="rId7"/>
          <w:footerReference w:type="default" r:id="rId8"/>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Section I — Processing and responding</w:t>
      </w:r>
    </w:p>
    <w:p>
      <w:pPr>
        <w:spacing w:after="120" w:before="240"/>
      </w:pPr>
      <w:r>
        <w:rPr>
          <w:rFonts w:ascii="Arial" w:cs="Arial" w:eastAsia="楷体" w:hAnsi="Arial"/>
          <w:b/>
          <w:bCs/>
          <w:sz w:val="26"/>
          <w:szCs w:val="26"/>
        </w:rPr>
        <w:t xml:space="preserve">Question 1</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thorough understanding of why Grandma feels the new generation's way of celebrating Spring Festival has "lost its roots"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sound understanding of why Grandma feels the new generation's way of celebrating Spring Festival has "lost its roots"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3</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why Grandma feels the celebration has lost its roots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2</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some relevant information</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w:t>
            </w:r>
          </w:p>
        </w:tc>
      </w:tr>
    </w:tbl>
    <w:p>
      <w:pPr>
        <w:spacing w:after="60" w:before="180"/>
      </w:pPr>
      <w:r>
        <w:rPr>
          <w:rFonts w:ascii="Arial" w:cs="Arial" w:eastAsia="楷体" w:hAnsi="Arial"/>
          <w:b/>
          <w:bCs/>
          <w:i/>
          <w:iCs/>
          <w:sz w:val="22"/>
          <w:szCs w:val="22"/>
        </w:rPr>
        <w:t xml:space="preserve">Sample answer:</w:t>
      </w:r>
    </w:p>
    <w:p>
      <w:pPr>
        <w:spacing w:after="120" w:before="0" w:line="300"/>
      </w:pPr>
      <w:r>
        <w:rPr>
          <w:rFonts w:ascii="Arial" w:cs="Arial" w:eastAsia="楷体" w:hAnsi="Arial"/>
          <w:sz w:val="22"/>
          <w:szCs w:val="22"/>
        </w:rPr>
        <w:t xml:space="preserve">Grandma feels the new generation has lost the rich cultural rituals of Spring Festival — gathering with family, making dumplings, pasting couplets, setting off fireworks — replaced by a simplified meal. She fears that without these meaningful customs, young Chinese-Australians risk becoming culturally rootless and losing their identity.</w:t>
      </w:r>
    </w:p>
    <w:p>
      <w:pPr>
        <w:spacing w:after="120" w:before="240"/>
      </w:pPr>
      <w:r>
        <w:rPr>
          <w:rFonts w:ascii="Arial" w:cs="Arial" w:eastAsia="楷体" w:hAnsi="Arial"/>
          <w:b/>
          <w:bCs/>
          <w:sz w:val="26"/>
          <w:szCs w:val="26"/>
        </w:rPr>
        <w:t xml:space="preserve">Question 2</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comprehensive understanding of the text. Writes an effective flyer for context, purpose and audience. Demonstrates sustained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6</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thorough understanding of the text. Writes an appropriate flyer for context, purpose and audience. Demonstrates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sound understanding of the text. Writes a flyer with some awareness of context, purpose and audience. Demonstrates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the text. Writes with some awareness of context and/or purpose and/or audience. Demonstrates some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2–3</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some relevant information</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w:t>
            </w:r>
          </w:p>
        </w:tc>
      </w:tr>
    </w:tbl>
    <w:p>
      <w:pPr>
        <w:spacing w:after="60" w:before="180"/>
      </w:pPr>
      <w:r>
        <w:rPr>
          <w:rFonts w:ascii="Arial" w:cs="Arial" w:eastAsia="楷体" w:hAnsi="Arial"/>
          <w:b/>
          <w:bCs/>
          <w:i/>
          <w:iCs/>
          <w:sz w:val="22"/>
          <w:szCs w:val="22"/>
        </w:rPr>
        <w:t xml:space="preserve">Sample answer:</w:t>
      </w:r>
    </w:p>
    <w:p>
      <w:pPr>
        <w:spacing w:after="120" w:before="0" w:line="360"/>
      </w:pPr>
      <w:r>
        <w:rPr>
          <w:rFonts w:ascii="楷体" w:cs="楷体" w:eastAsia="楷体" w:hAnsi="楷体"/>
          <w:sz w:val="24"/>
          <w:szCs w:val="24"/>
        </w:rPr>
        <w:t xml:space="preserve">二手书漂流，环保你我他！同学们，你家里是否有读过却闲置的好书？图书馆门口的漂流书架正在等你！把闲置的书放上去，挑一本喜欢的带回家，让书本继续传递知识与情感。在书的内页写下一句读后感，与下一位读者分享你的感动。让我们一起减少浪费、传递书香，做有责任的全球公民！期待你的参与！</w:t>
      </w:r>
    </w:p>
    <w:p>
      <w:pPr>
        <w:spacing w:after="60" w:before="60"/>
      </w:pPr>
      <w:r>
        <w:rPr>
          <w:rFonts w:ascii="Arial" w:cs="Arial" w:eastAsia="楷体" w:hAnsi="Arial"/>
          <w:b/>
          <w:bCs/>
          <w:i/>
          <w:iCs/>
          <w:sz w:val="22"/>
          <w:szCs w:val="22"/>
        </w:rPr>
        <w:t xml:space="preserve">Sample answer (translation):</w:t>
      </w:r>
    </w:p>
    <w:p>
      <w:pPr>
        <w:spacing w:after="120" w:before="0" w:line="300"/>
      </w:pPr>
      <w:r>
        <w:rPr>
          <w:rFonts w:ascii="Arial" w:cs="Arial" w:eastAsia="楷体" w:hAnsi="Arial"/>
          <w:i/>
          <w:iCs/>
          <w:sz w:val="22"/>
          <w:szCs w:val="22"/>
        </w:rPr>
        <w:t xml:space="preserve">Second-hand Book Drift — Environmental Protection is Up to All of Us! Fellow students, do you have books you've read but left idle at home? The drift bookshelf by the library is waiting for you! Place your unused books there and take one home that interests you — let books continue to circulate knowledge and emotion. Write a brief review on the inside cover to share your inspiration with the next reader. Let's reduce waste and pass on the love of reading — be a responsible global citizen! We look forward to your participation!</w:t>
      </w:r>
    </w:p>
    <w:p>
      <w:pPr>
        <w:spacing w:after="120" w:before="240"/>
      </w:pPr>
      <w:r>
        <w:rPr>
          <w:rFonts w:ascii="Arial" w:cs="Arial" w:eastAsia="楷体" w:hAnsi="Arial"/>
          <w:b/>
          <w:bCs/>
          <w:sz w:val="26"/>
          <w:szCs w:val="26"/>
        </w:rPr>
        <w:t xml:space="preserve">Question 3</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comprehensive understanding of both texts. Demonstrates a strong ability to synthesise the information and ideas from both texts by writing an effective email for context, purpose and audience. Demonstrates sustained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8</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thorough understanding of both texts. Demonstrates a sound ability to synthesise the information and ideas from both texts by writing an appropriate email for context, purpose and audience. Demonstrates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6–7</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sound understanding of both texts. Demonstrates some ability to synthesise the information and ideas from both texts by writing an email with some awareness of context, purpose and audience. Demonstrates control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4–5</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one or both text(s). Writes with some awareness of context and/or purpose and/or audience. Demonstrates some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2–3</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some relevant information</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w:t>
            </w:r>
          </w:p>
        </w:tc>
      </w:tr>
    </w:tbl>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Negative impacts (synthesising both texts):</w:t>
      </w:r>
    </w:p>
    <w:p>
      <w:pPr>
        <w:spacing w:after="40" w:before="0" w:line="280"/>
        <w:ind w:left="480" w:hanging="240"/>
      </w:pPr>
      <w:r>
        <w:rPr>
          <w:rFonts w:ascii="Arial" w:cs="Arial" w:eastAsia="楷体" w:hAnsi="Arial"/>
          <w:sz w:val="22"/>
          <w:szCs w:val="22"/>
        </w:rPr>
        <w:t xml:space="preserve">•    • The illusion of breadth without depth — the podcast warns that hundreds of online ‘friends’ may yield few genuine connections, deepening loneliness and anxiety; the blog makes this concrete through the writer’s realisation that she had been ‘living online’ and neglected her closest friend Kelly.</w:t>
      </w:r>
    </w:p>
    <w:p>
      <w:pPr>
        <w:spacing w:after="40" w:before="0" w:line="280"/>
        <w:ind w:left="480" w:hanging="240"/>
      </w:pPr>
      <w:r>
        <w:rPr>
          <w:rFonts w:ascii="Arial" w:cs="Arial" w:eastAsia="楷体" w:hAnsi="Arial"/>
          <w:sz w:val="22"/>
          <w:szCs w:val="22"/>
        </w:rPr>
        <w:t xml:space="preserve">•    • Erosion of face-to-face friendship — the blog’s line ‘screens transmit text but cannot convey the warmth of a hug’ vividly captures the podcast’s broader point that excessive social-media reliance reduces real-world interaction.</w:t>
      </w:r>
    </w:p>
    <w:p>
      <w:pPr>
        <w:spacing w:after="40" w:before="0" w:line="280"/>
        <w:ind w:left="480" w:hanging="240"/>
      </w:pPr>
      <w:r>
        <w:rPr>
          <w:rFonts w:ascii="Arial" w:cs="Arial" w:eastAsia="楷体" w:hAnsi="Arial"/>
          <w:sz w:val="22"/>
          <w:szCs w:val="22"/>
        </w:rPr>
        <w:t xml:space="preserve">•    • Strained close relationships — the blog’s month-long gap before reaching out to Kelly concretises the podcast’s general concern about social-media-induced relational damage.</w:t>
      </w:r>
    </w:p>
    <w:p>
      <w:pPr>
        <w:spacing w:after="40" w:before="0" w:line="280"/>
        <w:ind w:left="480" w:hanging="240"/>
      </w:pPr>
      <w:r>
        <w:rPr>
          <w:rFonts w:ascii="Arial" w:cs="Arial" w:eastAsia="楷体" w:hAnsi="Arial"/>
          <w:sz w:val="22"/>
          <w:szCs w:val="22"/>
        </w:rPr>
        <w:t xml:space="preserve">•  Positive impacts (drawing on the podcast):</w:t>
      </w:r>
    </w:p>
    <w:p>
      <w:pPr>
        <w:spacing w:after="40" w:before="0" w:line="280"/>
        <w:ind w:left="480" w:hanging="240"/>
      </w:pPr>
      <w:r>
        <w:rPr>
          <w:rFonts w:ascii="Arial" w:cs="Arial" w:eastAsia="楷体" w:hAnsi="Arial"/>
          <w:sz w:val="22"/>
          <w:szCs w:val="22"/>
        </w:rPr>
        <w:t xml:space="preserve">•    • Platform for introverted self-expression — social media offers an outlet for students who find face-to-face expression harder.</w:t>
      </w:r>
    </w:p>
    <w:p>
      <w:pPr>
        <w:spacing w:after="40" w:before="0" w:line="280"/>
        <w:ind w:left="480" w:hanging="240"/>
      </w:pPr>
      <w:r>
        <w:rPr>
          <w:rFonts w:ascii="Arial" w:cs="Arial" w:eastAsia="楷体" w:hAnsi="Arial"/>
          <w:sz w:val="22"/>
          <w:szCs w:val="22"/>
        </w:rPr>
        <w:t xml:space="preserve">•    • Geographic friendship — cross-national friendships break down distance barriers, an angle absent from the blog’s domestic-focused regret.</w:t>
      </w:r>
    </w:p>
    <w:p>
      <w:pPr>
        <w:spacing w:after="40" w:before="0" w:line="280"/>
        <w:ind w:left="480" w:hanging="240"/>
      </w:pPr>
      <w:r>
        <w:rPr>
          <w:rFonts w:ascii="Arial" w:cs="Arial" w:eastAsia="楷体" w:hAnsi="Arial"/>
          <w:sz w:val="22"/>
          <w:szCs w:val="22"/>
        </w:rPr>
        <w:t xml:space="preserve">•  Synthesis and reflective closure:</w:t>
      </w:r>
    </w:p>
    <w:p>
      <w:pPr>
        <w:spacing w:after="40" w:before="0" w:line="280"/>
        <w:ind w:left="480" w:hanging="240"/>
      </w:pPr>
      <w:r>
        <w:rPr>
          <w:rFonts w:ascii="Arial" w:cs="Arial" w:eastAsia="楷体" w:hAnsi="Arial"/>
          <w:sz w:val="22"/>
          <w:szCs w:val="22"/>
        </w:rPr>
        <w:t xml:space="preserve">•    • Technology should serve genuine connection, not replace it — the key is rational, balanced use (synthesising the podcast’s measured analysis with the blog’s emotional resolution).</w:t>
      </w:r>
    </w:p>
    <w:p>
      <w:pPr>
        <w:spacing w:after="40" w:before="0" w:line="280"/>
        <w:ind w:left="480" w:hanging="240"/>
      </w:pPr>
      <w:r>
        <w:rPr>
          <w:rFonts w:ascii="Arial" w:cs="Arial" w:eastAsia="楷体" w:hAnsi="Arial"/>
          <w:sz w:val="22"/>
          <w:szCs w:val="22"/>
        </w:rPr>
        <w:t xml:space="preserve">•    • Commitment to reconnecting offline; valuing in-person time with close friends (echoing the blog’s implicit resolution to reach back out to Kelly).</w:t>
      </w:r>
    </w:p>
    <w:p>
      <w:pPr>
        <w:spacing w:after="120" w:before="240"/>
      </w:pPr>
      <w:r>
        <w:rPr>
          <w:rFonts w:ascii="Arial" w:cs="Arial" w:eastAsia="楷体" w:hAnsi="Arial"/>
          <w:b/>
          <w:bCs/>
          <w:sz w:val="26"/>
          <w:szCs w:val="26"/>
        </w:rPr>
        <w:t xml:space="preserve">Question 4</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comprehensive understanding of the text. Demonstrates a strong ability to respond to the text personally and critically by writing an effective letter to the editor for context, purpose and audience. Demonstrates sustained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9–10</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thorough understanding of the text. Demonstrates a sound ability to respond to the text personally and critically by writing an appropriate letter to the editor for context, purpose and audience. Demonstrates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7–8</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sound understanding of the text. Demonstrates some ability to respond to the text personally and critically by writing a letter to the editor with some awareness of context, purpose and audience. Demonstrates control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5–6</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the text. Writes with some awareness of context and/or purpose and/or audience. Demonstrates some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3–4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limited understanding of the text. Demonstrates a limited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1–2</w:t>
            </w:r>
          </w:p>
        </w:tc>
      </w:tr>
    </w:tbl>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Acknowledge the metaphor of “夹缝” (the gap) as an accurate description of the Chinese-Australian experience.</w:t>
      </w:r>
    </w:p>
    <w:p>
      <w:pPr>
        <w:spacing w:after="40" w:before="0" w:line="280"/>
        <w:ind w:left="480" w:hanging="240"/>
      </w:pPr>
      <w:r>
        <w:rPr>
          <w:rFonts w:ascii="Arial" w:cs="Arial" w:eastAsia="楷体" w:hAnsi="Arial"/>
          <w:sz w:val="22"/>
          <w:szCs w:val="22"/>
        </w:rPr>
        <w:t xml:space="preserve">•  Present a personal view — bicultural identity can be a strength rather than a weakness.</w:t>
      </w:r>
    </w:p>
    <w:p>
      <w:pPr>
        <w:spacing w:after="40" w:before="0" w:line="280"/>
        <w:ind w:left="480" w:hanging="240"/>
      </w:pPr>
      <w:r>
        <w:rPr>
          <w:rFonts w:ascii="Arial" w:cs="Arial" w:eastAsia="楷体" w:hAnsi="Arial"/>
          <w:sz w:val="22"/>
          <w:szCs w:val="22"/>
        </w:rPr>
        <w:t xml:space="preserve">•  Reference Chinese cultural heritage (博大精深) as a source of identity.</w:t>
      </w:r>
    </w:p>
    <w:p>
      <w:pPr>
        <w:spacing w:after="40" w:before="0" w:line="280"/>
        <w:ind w:left="480" w:hanging="240"/>
      </w:pPr>
      <w:r>
        <w:rPr>
          <w:rFonts w:ascii="Arial" w:cs="Arial" w:eastAsia="楷体" w:hAnsi="Arial"/>
          <w:sz w:val="22"/>
          <w:szCs w:val="22"/>
        </w:rPr>
        <w:t xml:space="preserve">•  Reference Australian multicultural values (多元包容) as the foundation of a shared society.</w:t>
      </w:r>
    </w:p>
    <w:p>
      <w:pPr>
        <w:spacing w:after="40" w:before="0" w:line="280"/>
        <w:ind w:left="480" w:hanging="240"/>
      </w:pPr>
      <w:r>
        <w:rPr>
          <w:rFonts w:ascii="Arial" w:cs="Arial" w:eastAsia="楷体" w:hAnsi="Arial"/>
          <w:sz w:val="22"/>
          <w:szCs w:val="22"/>
        </w:rPr>
        <w:t xml:space="preserve">•  Reject either-or thinking; embrace identity as actively constructed.</w:t>
      </w:r>
    </w:p>
    <w:p>
      <w:pPr>
        <w:spacing w:after="40" w:before="0" w:line="280"/>
        <w:ind w:left="480" w:hanging="240"/>
      </w:pPr>
      <w:r>
        <w:rPr>
          <w:rFonts w:ascii="Arial" w:cs="Arial" w:eastAsia="楷体" w:hAnsi="Arial"/>
          <w:sz w:val="22"/>
          <w:szCs w:val="22"/>
        </w:rPr>
        <w:t xml:space="preserve">•  Conclude with a call to action — Chinese-Australian youth as cultural contributors and innovators (文化的传承与创新).</w:t>
      </w:r>
    </w:p>
    <w:p>
      <w:pPr>
        <w:spacing w:after="40" w:before="0" w:line="280"/>
        <w:ind w:left="480" w:hanging="240"/>
      </w:pPr>
      <w:r>
        <w:rPr>
          <w:rFonts w:ascii="Arial" w:cs="Arial" w:eastAsia="楷体" w:hAnsi="Arial"/>
          <w:sz w:val="22"/>
          <w:szCs w:val="22"/>
        </w:rPr>
        <w:t xml:space="preserve">•  Format of a letter to the editor: 尊敬的编辑 + 敬礼 + 读者署名.</w:t>
      </w:r>
    </w:p>
    <w:p>
      <w:pPr>
        <w:spacing w:after="120" w:before="240"/>
      </w:pPr>
      <w:r>
        <w:rPr>
          <w:rFonts w:ascii="Arial" w:cs="Arial" w:eastAsia="楷体" w:hAnsi="Arial"/>
          <w:b/>
          <w:bCs/>
          <w:sz w:val="26"/>
          <w:szCs w:val="26"/>
        </w:rPr>
        <w:t xml:space="preserve">Question 5</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a perceptive analysis of how Xiao Lin successfully integrates her bilingual identity and bicultural background into her TCM career. Provides detailed reference to both the content and use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9–10</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a thorough analysis of how Xiao Lin successfully integrates her bilingual identity and bicultural background into her TCM career. Provides sound reference to both the content and use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7–8</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a sound analysis of how Xiao Lin successfully integrates her bilingual identity and bicultural background into her TCM career. Provides some reference to both the content and use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5–6</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how Xiao Lin integrates her bilingual identity and bicultural background into her TCM career. Provides some reference to the content and/or use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3–4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limited understanding of the text. Provides limited reference to the content and/or use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1–2</w:t>
            </w:r>
          </w:p>
        </w:tc>
      </w:tr>
    </w:tbl>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Xiao Lin shows the link between her bilingual identity and bicultural TCM career through her use of content and language. A perceptive analysis could draw on the following:</w:t>
      </w:r>
    </w:p>
    <w:p>
      <w:pPr>
        <w:spacing w:after="40" w:before="0" w:line="280"/>
        <w:ind w:left="480" w:hanging="240"/>
      </w:pPr>
      <w:r>
        <w:rPr>
          <w:rFonts w:ascii="Arial" w:cs="Arial" w:eastAsia="楷体" w:hAnsi="Arial"/>
          <w:sz w:val="22"/>
          <w:szCs w:val="22"/>
        </w:rPr>
        <w:t xml:space="preserve">•  Personal anecdote – Xiao Lin shares her childhood passion for Chinese medicine to illustrate that her career choice stemmed from authentic cultural identity, not external pressure.</w:t>
      </w:r>
    </w:p>
    <w:p>
      <w:pPr>
        <w:spacing w:after="40" w:before="0" w:line="280"/>
        <w:ind w:left="480" w:hanging="240"/>
      </w:pPr>
      <w:r>
        <w:rPr>
          <w:rFonts w:ascii="Arial" w:cs="Arial" w:eastAsia="楷体" w:hAnsi="Arial"/>
          <w:sz w:val="22"/>
          <w:szCs w:val="22"/>
        </w:rPr>
        <w:t xml:space="preserve">•  Idiom – ‘情有独钟’ (a special fondness) emphasises the depth of her cultural attachment from a young age, framing her path as an identity-driven decision rather than a circumstantial one.</w:t>
      </w:r>
    </w:p>
    <w:p>
      <w:pPr>
        <w:spacing w:after="40" w:before="0" w:line="280"/>
        <w:ind w:left="480" w:hanging="240"/>
      </w:pPr>
      <w:r>
        <w:rPr>
          <w:rFonts w:ascii="Arial" w:cs="Arial" w:eastAsia="楷体" w:hAnsi="Arial"/>
          <w:sz w:val="22"/>
          <w:szCs w:val="22"/>
        </w:rPr>
        <w:t xml:space="preserve">•  Simile – ‘像一艘在两种文化之间漂流的小船’ (like a boat drifting between two cultures) vividly conveys her early sense of cultural displacement and the emotional cost of her decision.</w:t>
      </w:r>
    </w:p>
    <w:p>
      <w:pPr>
        <w:spacing w:after="40" w:before="0" w:line="280"/>
        <w:ind w:left="480" w:hanging="240"/>
      </w:pPr>
      <w:r>
        <w:rPr>
          <w:rFonts w:ascii="Arial" w:cs="Arial" w:eastAsia="楷体" w:hAnsi="Arial"/>
          <w:sz w:val="22"/>
          <w:szCs w:val="22"/>
        </w:rPr>
        <w:t xml:space="preserve">•  Proverb – ‘一分耕耘，一分收获’ (You reap what you sow) grounds her perseverance in disciplined effort and frames her achievements as the result of deliberate ethical choice.</w:t>
      </w:r>
    </w:p>
    <w:p>
      <w:pPr>
        <w:spacing w:after="40" w:before="0" w:line="280"/>
        <w:ind w:left="480" w:hanging="240"/>
      </w:pPr>
      <w:r>
        <w:rPr>
          <w:rFonts w:ascii="Arial" w:cs="Arial" w:eastAsia="楷体" w:hAnsi="Arial"/>
          <w:sz w:val="22"/>
          <w:szCs w:val="22"/>
        </w:rPr>
        <w:t xml:space="preserve">•  Listing – by listing the four traditional diagnostic methods ‘望、闻、问、切’, Xiao Lin demonstrates the technical depth she acquired through her Chinese-language apprenticeship.</w:t>
      </w:r>
    </w:p>
    <w:p>
      <w:pPr>
        <w:spacing w:after="40" w:before="0" w:line="280"/>
        <w:ind w:left="480" w:hanging="240"/>
      </w:pPr>
      <w:r>
        <w:rPr>
          <w:rFonts w:ascii="Arial" w:cs="Arial" w:eastAsia="楷体" w:hAnsi="Arial"/>
          <w:sz w:val="22"/>
          <w:szCs w:val="22"/>
        </w:rPr>
        <w:t xml:space="preserve">•  Rhetorical question – ‘难道传统中医只能局限于唐人街吗？’ (Must traditional Chinese medicine remain confined to Chinatown?) challenges the assumption that traditional knowledge cannot serve the mainstream community, signalling her ambition to take TCM into the Australian mainstream.</w:t>
      </w:r>
    </w:p>
    <w:p>
      <w:pPr>
        <w:spacing w:after="120" w:before="240"/>
      </w:pPr>
      <w:r>
        <w:rPr>
          <w:rFonts w:ascii="Arial" w:cs="Arial" w:eastAsia="楷体" w:hAnsi="Arial"/>
          <w:b/>
          <w:bCs/>
          <w:sz w:val="26"/>
          <w:szCs w:val="26"/>
        </w:rPr>
        <w:t xml:space="preserve">Question 6</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comprehensive understanding of both texts. Demonstrates a strong ability to reflect on the texts by writing an effective speech for context, purpose and audience. Demonstrates sustained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11–12</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thorough understanding of both texts. Demonstrates a sound ability to reflect on the texts by writing an appropriate speech for context, purpose and audience. Demonstrates control of a range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8–10</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sound understanding of both texts. Demonstrates some ability to reflect on the texts by writing a speech with some awareness of context, purpose and audience. Demonstrates control of Chinese language features and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5–7</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some understanding of one or both text(s). Writes with some awareness of context and/or purpose and/or audience. Demonstrates some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3–4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a limited understanding of one or both text(s). Demonstrates a limited control of Chinese language features and/or literary devices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1–2</w:t>
            </w:r>
          </w:p>
        </w:tc>
      </w:tr>
    </w:tbl>
    <w:p>
      <w:pPr>
        <w:spacing w:after="60" w:before="180"/>
      </w:pPr>
      <w:r>
        <w:rPr>
          <w:rFonts w:ascii="Arial" w:cs="Arial" w:eastAsia="楷体" w:hAnsi="Arial"/>
          <w:b/>
          <w:bCs/>
          <w:i/>
          <w:iCs/>
          <w:sz w:val="22"/>
          <w:szCs w:val="22"/>
        </w:rPr>
        <w:t xml:space="preserve">Indicative Band 6 model response (not NESA-published):</w:t>
      </w:r>
    </w:p>
    <w:p>
      <w:pPr>
        <w:spacing w:after="120" w:before="0" w:line="360"/>
      </w:pPr>
      <w:r>
        <w:rPr>
          <w:rFonts w:ascii="楷体" w:cs="楷体" w:eastAsia="楷体" w:hAnsi="楷体"/>
          <w:sz w:val="24"/>
          <w:szCs w:val="24"/>
        </w:rPr>
        <w:t xml:space="preserve">尊敬的老师、亲爱的同学们：大家好！今天我演讲的题目是“中秋节的文化意义”。校长的通知告诉我们：中秋节是千年的文化瑰宝。小华在聊天里说，中秋最核心的精神是“团圆”，一家人围坐分享月饼，远方游子也心系故里。小李引用苏轼的“但愿人长久，千里共婵娟”，这句词跨越古今，承载着对亲人无尽的思念。此外，嫦娥奔月、玉兔捣药等古老传说，丰富了中秋的文化内涵。综上所述，中秋节不仅是节日，更是中华民族情感与价值的载体，它教会我们珍惜团圆与传统。让我们一同传承这份文化瑰宝！谢谢大家！</w:t>
      </w:r>
    </w:p>
    <w:p>
      <w:pPr>
        <w:spacing w:after="60" w:before="60"/>
      </w:pPr>
      <w:r>
        <w:rPr>
          <w:rFonts w:ascii="Arial" w:cs="Arial" w:eastAsia="楷体" w:hAnsi="Arial"/>
          <w:b/>
          <w:bCs/>
          <w:i/>
          <w:iCs/>
          <w:sz w:val="22"/>
          <w:szCs w:val="22"/>
        </w:rPr>
        <w:t xml:space="preserve">Sample answer (translation):</w:t>
      </w:r>
    </w:p>
    <w:p>
      <w:pPr>
        <w:spacing w:after="120" w:before="0" w:line="300"/>
      </w:pPr>
      <w:r>
        <w:rPr>
          <w:rFonts w:ascii="Arial" w:cs="Arial" w:eastAsia="楷体" w:hAnsi="Arial"/>
          <w:i/>
          <w:iCs/>
          <w:sz w:val="22"/>
          <w:szCs w:val="22"/>
        </w:rPr>
        <w:t xml:space="preserve">Respected teachers, dear classmates: Hello everyone! The topic of my speech today is 'The Cultural Significance of the Mid-Autumn Festival'. The principal's notice tells us that the Mid-Autumn Festival is a cultural treasure of the Chinese nation, spanning a thousand years. So where exactly does its cultural significance lie? In the group chat, Xiao Hua said that the core spirit of the Mid-Autumn Festival is '团圆' (reunion) — families gather to share mooncakes, while travellers far from home remain deeply connected to their hometowns. Xiao Li quoted Su Shi's line '但愿人长久，千里共婵娟' (May we all live long and share the moonlight, though apart) — these words echo across the centuries, carrying boundless longing and blessings for loved ones. In addition, ancient legends like 嫦娥奔月 (Chang'e flying to the moon) and 玉兔捣药 (the Jade Rabbit pounding medicine) further enrich the cultural depth of the Mid-Autumn Festival. In conclusion, the Mid-Autumn Festival is not merely a festival, but a vessel of the Chinese nation's emotions and values — it teaches us to cherish reunion, be grateful to family, and respect tradition. Let us carry this cultural treasure forward together! Thank you all!</w:t>
      </w:r>
    </w:p>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Cultural significance of Mid-Autumn Festival as a celebration of 团圆 (family reunion).</w:t>
      </w:r>
    </w:p>
    <w:p>
      <w:pPr>
        <w:spacing w:after="40" w:before="0" w:line="280"/>
        <w:ind w:left="480" w:hanging="240"/>
      </w:pPr>
      <w:r>
        <w:rPr>
          <w:rFonts w:ascii="Arial" w:cs="Arial" w:eastAsia="楷体" w:hAnsi="Arial"/>
          <w:sz w:val="22"/>
          <w:szCs w:val="22"/>
        </w:rPr>
        <w:t xml:space="preserve">•  Reference to the Su Shi quotation “但愿人长久，千里共婵娟” as a literary anchor.</w:t>
      </w:r>
    </w:p>
    <w:p>
      <w:pPr>
        <w:spacing w:after="40" w:before="0" w:line="280"/>
        <w:ind w:left="480" w:hanging="240"/>
      </w:pPr>
      <w:r>
        <w:rPr>
          <w:rFonts w:ascii="Arial" w:cs="Arial" w:eastAsia="楷体" w:hAnsi="Arial"/>
          <w:sz w:val="22"/>
          <w:szCs w:val="22"/>
        </w:rPr>
        <w:t xml:space="preserve">•  Cultural transmission: mooncakes, lantern-making, poetry recitation, the legend of 嫦娥奔月.</w:t>
      </w:r>
    </w:p>
    <w:p>
      <w:pPr>
        <w:spacing w:after="40" w:before="0" w:line="280"/>
        <w:ind w:left="480" w:hanging="240"/>
      </w:pPr>
      <w:r>
        <w:rPr>
          <w:rFonts w:ascii="Arial" w:cs="Arial" w:eastAsia="楷体" w:hAnsi="Arial"/>
          <w:sz w:val="22"/>
          <w:szCs w:val="22"/>
        </w:rPr>
        <w:t xml:space="preserve">•  Personal reflection on what it means to inherit cultural traditions in Australia.</w:t>
      </w:r>
    </w:p>
    <w:p>
      <w:pPr>
        <w:spacing w:after="40" w:before="0" w:line="280"/>
        <w:ind w:left="480" w:hanging="240"/>
      </w:pPr>
      <w:r>
        <w:rPr>
          <w:rFonts w:ascii="Arial" w:cs="Arial" w:eastAsia="楷体" w:hAnsi="Arial"/>
          <w:sz w:val="22"/>
          <w:szCs w:val="22"/>
        </w:rPr>
        <w:t xml:space="preserve">•  Cross-cultural appeal: introducing Chinese culture to peers of all backgrounds.</w:t>
      </w:r>
    </w:p>
    <w:p>
      <w:pPr>
        <w:spacing w:after="40" w:before="0" w:line="280"/>
        <w:ind w:left="480" w:hanging="240"/>
      </w:pPr>
      <w:r>
        <w:rPr>
          <w:rFonts w:ascii="Arial" w:cs="Arial" w:eastAsia="楷体" w:hAnsi="Arial"/>
          <w:sz w:val="22"/>
          <w:szCs w:val="22"/>
        </w:rPr>
        <w:t xml:space="preserve">•  Call to action: take responsibility for cultural transmission in a multicultural society.</w:t>
      </w:r>
    </w:p>
    <w:p>
      <w:pPr>
        <w:spacing w:after="40" w:before="0" w:line="280"/>
        <w:ind w:left="480" w:hanging="240"/>
      </w:pPr>
      <w:r>
        <w:rPr>
          <w:rFonts w:ascii="Arial" w:cs="Arial" w:eastAsia="楷体" w:hAnsi="Arial"/>
          <w:sz w:val="22"/>
          <w:szCs w:val="22"/>
        </w:rPr>
        <w:t xml:space="preserve">•  Speech conventions: opening greeting (尊敬的老师、同学们), closing (谢谢大家).</w:t>
      </w:r>
    </w:p>
    <w:p>
      <w:pPr>
        <w:sectPr>
          <w:headerReference w:type="default" r:id="rId9"/>
          <w:footerReference w:type="default" r:id="rId10"/>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Section II — Composing texts</w:t>
      </w:r>
    </w:p>
    <w:p>
      <w:pPr>
        <w:spacing w:after="180" w:before="0"/>
      </w:pPr>
      <w:r>
        <w:rPr>
          <w:rFonts w:ascii="Arial" w:cs="Arial" w:eastAsia="楷体" w:hAnsi="Arial"/>
          <w:b/>
          <w:bCs/>
          <w:sz w:val="26"/>
          <w:szCs w:val="26"/>
        </w:rPr>
        <w:t xml:space="preserve">Part A — Question 7 (10 marks)</w:t>
      </w:r>
    </w:p>
    <w:p>
      <w:pPr>
        <w:spacing w:after="120" w:before="240"/>
      </w:pPr>
      <w:r>
        <w:rPr>
          <w:rFonts w:ascii="Arial" w:cs="Arial" w:eastAsia="楷体" w:hAnsi="Arial"/>
          <w:b/>
          <w:bCs/>
          <w:sz w:val="26"/>
          <w:szCs w:val="26"/>
        </w:rPr>
        <w:t xml:space="preserve">Question 7</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Writes an effective diary entry specific to context, purpose and audience. Presents well-structured and logically sequenced information and ideas. Demonstrates sustained control of a range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9–10</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Writes an appropriate diary entry specific to context, purpose and audience. Presents structured and logically sequenced information and ideas. Demonstrates control of a range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7–8</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Writes an appropriate diary entry with an awareness of context, purpose and audience. Structures AND/OR sequences information and ideas. Demonstrates some control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5–6</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Attempts to write a diary entry with some awareness of context, purpose AND/OR audience. Attempts to structure OR sequence information and ideas. Demonstrates limited control of language features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3–4</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Attempts to communicate relevant information AND/OR ideas. Uses some appropriate language</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1–2</w:t>
            </w:r>
          </w:p>
        </w:tc>
      </w:tr>
    </w:tbl>
    <w:p>
      <w:pPr>
        <w:spacing w:after="60" w:before="180"/>
      </w:pPr>
      <w:r>
        <w:rPr>
          <w:rFonts w:ascii="Arial" w:cs="Arial" w:eastAsia="楷体" w:hAnsi="Arial"/>
          <w:b/>
          <w:bCs/>
          <w:i/>
          <w:iCs/>
          <w:sz w:val="22"/>
          <w:szCs w:val="22"/>
        </w:rPr>
        <w:t xml:space="preserve">Indicative Band 6 model response (not NESA-published):</w:t>
      </w:r>
    </w:p>
    <w:p>
      <w:pPr>
        <w:spacing w:after="120" w:before="0" w:line="360"/>
      </w:pPr>
      <w:r>
        <w:rPr>
          <w:rFonts w:ascii="楷体" w:cs="楷体" w:eastAsia="楷体" w:hAnsi="楷体"/>
          <w:sz w:val="24"/>
          <w:szCs w:val="24"/>
        </w:rPr>
        <w:t xml:space="preserve">5月19日 星期一 晴
今天是我成为双语翻译师的第三周年。回想十年前的高中时光，我曾经为选择哪条职业道路而苦恼。大学时一次在医院当志愿翻译的经历，让我明白：兴趣与坚持比起薪更重要。如今，我用两种语言搭建沟通的桥梁，深感“行行出状元”。未来，我希望继续用语言为多元社会贡献力量。</w:t>
      </w:r>
    </w:p>
    <w:p>
      <w:pPr>
        <w:spacing w:after="60" w:before="60"/>
      </w:pPr>
      <w:r>
        <w:rPr>
          <w:rFonts w:ascii="Arial" w:cs="Arial" w:eastAsia="楷体" w:hAnsi="Arial"/>
          <w:b/>
          <w:bCs/>
          <w:i/>
          <w:iCs/>
          <w:sz w:val="22"/>
          <w:szCs w:val="22"/>
        </w:rPr>
        <w:t xml:space="preserve">Sample answer (translation):</w:t>
      </w:r>
    </w:p>
    <w:p>
      <w:pPr>
        <w:spacing w:after="120" w:before="0" w:line="300"/>
      </w:pPr>
      <w:r>
        <w:rPr>
          <w:rFonts w:ascii="Arial" w:cs="Arial" w:eastAsia="楷体" w:hAnsi="Arial"/>
          <w:i/>
          <w:iCs/>
          <w:sz w:val="22"/>
          <w:szCs w:val="22"/>
        </w:rPr>
        <w:t xml:space="preserve">19 May, Monday, Sunny
Today marks the third anniversary of my career as a bilingual interpreter. Looking back at high school ten years ago, I once struggled over which career path to choose. One experience as a volunteer interpreter at a hospital during my university years made me realise: interest and persistence matter more than starting salary. Today I build bridges of communication in two languages — every profession can produce a champion (行行出状元). I hope to keep using my language skills to contribute to a diverse society.</w:t>
      </w:r>
    </w:p>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Diary entry format: date + weekday + weather in opening line.</w:t>
      </w:r>
    </w:p>
    <w:p>
      <w:pPr>
        <w:spacing w:after="40" w:before="0" w:line="280"/>
        <w:ind w:left="480" w:hanging="240"/>
      </w:pPr>
      <w:r>
        <w:rPr>
          <w:rFonts w:ascii="Arial" w:cs="Arial" w:eastAsia="楷体" w:hAnsi="Arial"/>
          <w:sz w:val="22"/>
          <w:szCs w:val="22"/>
        </w:rPr>
        <w:t xml:space="preserve">•  Personal-voice reflection on the imagined career journey.</w:t>
      </w:r>
    </w:p>
    <w:p>
      <w:pPr>
        <w:spacing w:after="40" w:before="0" w:line="280"/>
        <w:ind w:left="480" w:hanging="240"/>
      </w:pPr>
      <w:r>
        <w:rPr>
          <w:rFonts w:ascii="Arial" w:cs="Arial" w:eastAsia="楷体" w:hAnsi="Arial"/>
          <w:sz w:val="22"/>
          <w:szCs w:val="22"/>
        </w:rPr>
        <w:t xml:space="preserve">•  Specific career — could be translator, doctor, engineer, teacher, entrepreneur.</w:t>
      </w:r>
    </w:p>
    <w:p>
      <w:pPr>
        <w:spacing w:after="40" w:before="0" w:line="280"/>
        <w:ind w:left="480" w:hanging="240"/>
      </w:pPr>
      <w:r>
        <w:rPr>
          <w:rFonts w:ascii="Arial" w:cs="Arial" w:eastAsia="楷体" w:hAnsi="Arial"/>
          <w:sz w:val="22"/>
          <w:szCs w:val="22"/>
        </w:rPr>
        <w:t xml:space="preserve">•  Reflection on growth, challenges, mentors, or pivotal moments.</w:t>
      </w:r>
    </w:p>
    <w:p>
      <w:pPr>
        <w:spacing w:after="40" w:before="0" w:line="280"/>
        <w:ind w:left="480" w:hanging="240"/>
      </w:pPr>
      <w:r>
        <w:rPr>
          <w:rFonts w:ascii="Arial" w:cs="Arial" w:eastAsia="楷体" w:hAnsi="Arial"/>
          <w:sz w:val="22"/>
          <w:szCs w:val="22"/>
        </w:rPr>
        <w:t xml:space="preserve">•  Use of 1+ 成语 or proverb (e.g. 一分耕耘一分收获, 行行出状元).</w:t>
      </w:r>
    </w:p>
    <w:p>
      <w:pPr>
        <w:spacing w:after="40" w:before="0" w:line="280"/>
        <w:ind w:left="480" w:hanging="240"/>
      </w:pPr>
      <w:r>
        <w:rPr>
          <w:rFonts w:ascii="Arial" w:cs="Arial" w:eastAsia="楷体" w:hAnsi="Arial"/>
          <w:sz w:val="22"/>
          <w:szCs w:val="22"/>
        </w:rPr>
        <w:t xml:space="preserve">•  Forward-looking closing reflection.</w:t>
      </w:r>
    </w:p>
    <w:p>
      <w:pPr>
        <w:spacing w:after="180" w:before="360"/>
      </w:pPr>
      <w:r>
        <w:rPr>
          <w:rFonts w:ascii="Arial" w:cs="Arial" w:eastAsia="楷体" w:hAnsi="Arial"/>
          <w:b/>
          <w:bCs/>
          <w:sz w:val="26"/>
          <w:szCs w:val="26"/>
        </w:rPr>
        <w:t xml:space="preserve">Part B — Question 8 (20 marks)</w:t>
      </w:r>
    </w:p>
    <w:p>
      <w:pPr>
        <w:spacing w:after="120" w:before="240"/>
      </w:pPr>
      <w:r>
        <w:rPr>
          <w:rFonts w:ascii="Arial" w:cs="Arial" w:eastAsia="楷体" w:hAnsi="Arial"/>
          <w:b/>
          <w:bCs/>
          <w:sz w:val="26"/>
          <w:szCs w:val="26"/>
        </w:rPr>
        <w:t xml:space="preserve">Question 8</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tblGrid>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pPr>
            <w:r>
              <w:rPr>
                <w:rFonts w:ascii="Arial" w:cs="Arial" w:eastAsia="楷体" w:hAnsi="Arial"/>
                <w:b/>
                <w:bCs/>
                <w:sz w:val="22"/>
                <w:szCs w:val="22"/>
              </w:rPr>
              <w:t xml:space="preserve">Criteria</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tcPr>
          <w:p>
            <w:pPr>
              <w:spacing w:after="0" w:before="0"/>
              <w:jc w:val="center"/>
            </w:pPr>
            <w:r>
              <w:rPr>
                <w:rFonts w:ascii="Arial" w:cs="Arial" w:eastAsia="楷体" w:hAnsi="Arial"/>
                <w:b/>
                <w:bCs/>
                <w:sz w:val="22"/>
                <w:szCs w:val="22"/>
              </w:rPr>
              <w:t xml:space="preserve">Marks</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highly-developed skills in presenting and substantiating information, opinions and ideas relevant to the question. Communicates authentically for the specified context, purpose and audience. Demonstrates skilful control of a range of language features and literary devices. Structures and sequences information and ideas coherently and effectively</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17–20</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well-developed skills in presenting and substantiating information, opinions and ideas relevant to the question. Communicates effectively for the specified context, purpose and audience. Demonstrates control of a range of language features and literary devices. Structures and sequences information and ideas coherently</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13–16</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Demonstrates sound skills in presenting AND/OR substantiating information, opinions and ideas relevant to the question. Communicates appropriately for the specified context, purpose and audience. Demonstrates control of language features and some literary devices. Structures and sequences information and ideas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9–12</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information, opinions AND/OR ideas with some relevance to the question. Communicates with some awareness of the context, purpose and audience. Demonstrates limited control of language features AND/OR literary devices. Attempts to structure and sequence information and ideas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5–8</w:t>
            </w:r>
          </w:p>
        </w:tc>
      </w:tr>
      <w:tr>
        <w:tc>
          <w:tcPr>
            <w:tcW w:type="dxa" w:w="7426"/>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line="280"/>
              <w:ind w:left="240" w:hanging="240"/>
            </w:pPr>
            <w:r>
              <w:rPr>
                <w:rFonts w:ascii="Arial" w:cs="Arial" w:eastAsia="楷体" w:hAnsi="Arial"/>
                <w:sz w:val="22"/>
                <w:szCs w:val="22"/>
              </w:rPr>
              <w:t xml:space="preserve">•  Provides limited information, opinions AND/OR ideas. Attempts to communicate using basic Chinese. Demonstrates limited control of language features AND/OR literary devices. Attempts to structure OR sequence information OR ideas</w:t>
            </w:r>
          </w:p>
        </w:tc>
        <w:tc>
          <w:tcPr>
            <w:tcW w:type="dxa" w:w="1600"/>
            <w:tcBorders>
              <w:top w:val="single" w:color="000000" w:sz="4"/>
              <w:left w:val="single" w:color="000000" w:sz="4"/>
              <w:bottom w:val="single" w:color="000000" w:sz="4"/>
              <w:right w:val="single" w:color="000000" w:sz="4"/>
            </w:tcBorders>
            <w:tcMar>
              <w:top w:type="dxa" w:w="100"/>
              <w:left w:type="dxa" w:w="160"/>
              <w:bottom w:type="dxa" w:w="100"/>
              <w:right w:type="dxa" w:w="160"/>
            </w:tcMar>
            <w:vAlign w:val="center"/>
          </w:tcPr>
          <w:p>
            <w:pPr>
              <w:spacing w:after="0" w:before="0"/>
              <w:jc w:val="center"/>
            </w:pPr>
            <w:r>
              <w:rPr>
                <w:rFonts w:ascii="Arial" w:cs="Arial" w:eastAsia="楷体" w:hAnsi="Arial"/>
                <w:b/>
                <w:bCs/>
                <w:sz w:val="22"/>
                <w:szCs w:val="22"/>
              </w:rPr>
              <w:t xml:space="preserve">1–4</w:t>
            </w:r>
          </w:p>
        </w:tc>
      </w:tr>
    </w:tbl>
    <w:p>
      <w:pPr>
        <w:spacing w:after="60" w:before="180"/>
      </w:pPr>
      <w:r>
        <w:rPr>
          <w:rFonts w:ascii="Arial" w:cs="Arial" w:eastAsia="楷体" w:hAnsi="Arial"/>
          <w:b/>
          <w:bCs/>
          <w:i/>
          <w:iCs/>
          <w:sz w:val="22"/>
          <w:szCs w:val="22"/>
        </w:rPr>
        <w:t xml:space="preserve">Indicative Band 6 model response (not NESA-published):</w:t>
      </w:r>
    </w:p>
    <w:p>
      <w:pPr>
        <w:spacing w:after="120" w:before="0" w:line="360"/>
      </w:pPr>
      <w:r>
        <w:rPr>
          <w:rFonts w:ascii="楷体" w:cs="楷体" w:eastAsia="楷体" w:hAnsi="楷体"/>
          <w:sz w:val="24"/>
          <w:szCs w:val="24"/>
        </w:rPr>
        <w:t xml:space="preserve">数字时代，全球公民意识比以往任何时候都更需要培养。首先，互联网让世界成为“地球村”。气候变化、瘟疫流行、环境恶化，这些挑战已经超越国界。新冠疫情让我们清楚地看到：一个国家的危机能在几个月内蔓延全球，没有任何国境线能够挡住病毒。其次，数字平台传播信息的同时，也容易制造偏见与对立。唯有具备全球视野的公民，才能辨别真伪、保持理性、尊重多元。最后，年轻一代作为“数字原住民”，更应肩负起责任，将科技转化为推动正义与可持续发展的力量。综上所述，培养全球公民意识不是选择，而是数字时代每一位年轻人的必修课。</w:t>
      </w:r>
    </w:p>
    <w:p>
      <w:pPr>
        <w:spacing w:after="60" w:before="60"/>
      </w:pPr>
      <w:r>
        <w:rPr>
          <w:rFonts w:ascii="Arial" w:cs="Arial" w:eastAsia="楷体" w:hAnsi="Arial"/>
          <w:b/>
          <w:bCs/>
          <w:i/>
          <w:iCs/>
          <w:sz w:val="22"/>
          <w:szCs w:val="22"/>
        </w:rPr>
        <w:t xml:space="preserve">Sample answer (translation):</w:t>
      </w:r>
    </w:p>
    <w:p>
      <w:pPr>
        <w:spacing w:after="120" w:before="0" w:line="300"/>
      </w:pPr>
      <w:r>
        <w:rPr>
          <w:rFonts w:ascii="Arial" w:cs="Arial" w:eastAsia="楷体" w:hAnsi="Arial"/>
          <w:i/>
          <w:iCs/>
          <w:sz w:val="22"/>
          <w:szCs w:val="22"/>
        </w:rPr>
        <w:t xml:space="preserve">In the digital age, global citizenship awareness is more important than ever to cultivate. First, the internet has made the world a "global village". Climate change, pandemics, environmental degradation — these challenges have crossed national borders. The COVID-19 pandemic showed us clearly that one nation's crisis can spread globally within months, and no border can hold back a virus. Second, while digital platforms spread information, they also breed bias and confrontation. Only citizens with a global outlook can discern truth from falsehood, stay rational, and respect diversity. Finally, the younger generation as "digital natives" must shoulder the responsibility of channelling technology toward justice and sustainability. In summary, cultivating global citizenship awareness is not a choice but a required course for every young person in the digital age.</w:t>
      </w:r>
    </w:p>
    <w:p>
      <w:pPr>
        <w:spacing w:after="60" w:before="180"/>
      </w:pPr>
      <w:r>
        <w:rPr>
          <w:rFonts w:ascii="Arial" w:cs="Arial" w:eastAsia="楷体" w:hAnsi="Arial"/>
          <w:b/>
          <w:bCs/>
          <w:i/>
          <w:iCs/>
          <w:sz w:val="22"/>
          <w:szCs w:val="22"/>
        </w:rPr>
        <w:t xml:space="preserve">Answers could include:</w:t>
      </w:r>
    </w:p>
    <w:p>
      <w:pPr>
        <w:spacing w:after="40" w:before="0" w:line="280"/>
        <w:ind w:left="480" w:hanging="240"/>
      </w:pPr>
      <w:r>
        <w:rPr>
          <w:rFonts w:ascii="Arial" w:cs="Arial" w:eastAsia="楷体" w:hAnsi="Arial"/>
          <w:sz w:val="22"/>
          <w:szCs w:val="22"/>
        </w:rPr>
        <w:t xml:space="preserve">•  Marker guidance (NESA exam-setting principle 2.9): a question on a controversial issue 'should be evaluated in terms of the presentation of the evidence rather than the position taken'. Students may argue EITHER that global citizenship awareness is more important than ever in the digital age OR that the digital age makes such awareness LESS practically meaningful. Reward the QUALITY of evidence and reasoning for the chosen position, NOT the position itself.</w:t>
      </w:r>
    </w:p>
    <w:p>
      <w:pPr>
        <w:spacing w:after="40" w:before="0" w:line="280"/>
        <w:ind w:left="480" w:hanging="240"/>
      </w:pPr>
      <w:r>
        <w:rPr>
          <w:rFonts w:ascii="Arial" w:cs="Arial" w:eastAsia="楷体" w:hAnsi="Arial"/>
          <w:sz w:val="22"/>
          <w:szCs w:val="22"/>
        </w:rPr>
        <w:t xml:space="preserve">•  PRO-thesis arguments (the digital age makes global citizenship more important):</w:t>
      </w:r>
    </w:p>
    <w:p>
      <w:pPr>
        <w:spacing w:after="40" w:before="0" w:line="280"/>
        <w:ind w:left="480" w:hanging="240"/>
      </w:pPr>
      <w:r>
        <w:rPr>
          <w:rFonts w:ascii="Arial" w:cs="Arial" w:eastAsia="楷体" w:hAnsi="Arial"/>
          <w:sz w:val="22"/>
          <w:szCs w:val="22"/>
        </w:rPr>
        <w:t xml:space="preserve">•    • The internet has made the world a 地球村 (global village) — climate change, pandemics, environmental degradation cross national borders.</w:t>
      </w:r>
    </w:p>
    <w:p>
      <w:pPr>
        <w:spacing w:after="40" w:before="0" w:line="280"/>
        <w:ind w:left="480" w:hanging="240"/>
      </w:pPr>
      <w:r>
        <w:rPr>
          <w:rFonts w:ascii="Arial" w:cs="Arial" w:eastAsia="楷体" w:hAnsi="Arial"/>
          <w:sz w:val="22"/>
          <w:szCs w:val="22"/>
        </w:rPr>
        <w:t xml:space="preserve">•    • Digital platforms spread information but also bias — global citizens must distinguish truth, stay rational, respect diversity.</w:t>
      </w:r>
    </w:p>
    <w:p>
      <w:pPr>
        <w:spacing w:after="40" w:before="0" w:line="280"/>
        <w:ind w:left="480" w:hanging="240"/>
      </w:pPr>
      <w:r>
        <w:rPr>
          <w:rFonts w:ascii="Arial" w:cs="Arial" w:eastAsia="楷体" w:hAnsi="Arial"/>
          <w:sz w:val="22"/>
          <w:szCs w:val="22"/>
        </w:rPr>
        <w:t xml:space="preserve">•    • Young people as 数字原住民 (digital natives) bear responsibility to channel technology toward justice and sustainability.</w:t>
      </w:r>
    </w:p>
    <w:p>
      <w:pPr>
        <w:spacing w:after="40" w:before="0" w:line="280"/>
        <w:ind w:left="480" w:hanging="240"/>
      </w:pPr>
      <w:r>
        <w:rPr>
          <w:rFonts w:ascii="Arial" w:cs="Arial" w:eastAsia="楷体" w:hAnsi="Arial"/>
          <w:sz w:val="22"/>
          <w:szCs w:val="22"/>
        </w:rPr>
        <w:t xml:space="preserve">•  COUNTER-thesis arguments (the digital age makes meaningful global citizenship harder):</w:t>
      </w:r>
    </w:p>
    <w:p>
      <w:pPr>
        <w:spacing w:after="40" w:before="0" w:line="280"/>
        <w:ind w:left="480" w:hanging="240"/>
      </w:pPr>
      <w:r>
        <w:rPr>
          <w:rFonts w:ascii="Arial" w:cs="Arial" w:eastAsia="楷体" w:hAnsi="Arial"/>
          <w:sz w:val="22"/>
          <w:szCs w:val="22"/>
        </w:rPr>
        <w:t xml:space="preserve">•    • Information overload + algorithmic filter bubbles narrow rather than broaden worldviews.</w:t>
      </w:r>
    </w:p>
    <w:p>
      <w:pPr>
        <w:spacing w:after="40" w:before="0" w:line="280"/>
        <w:ind w:left="480" w:hanging="240"/>
      </w:pPr>
      <w:r>
        <w:rPr>
          <w:rFonts w:ascii="Arial" w:cs="Arial" w:eastAsia="楷体" w:hAnsi="Arial"/>
          <w:sz w:val="22"/>
          <w:szCs w:val="22"/>
        </w:rPr>
        <w:t xml:space="preserve">•    • 'Slacktivism' — performative online gestures on global issues — can substitute for real action.</w:t>
      </w:r>
    </w:p>
    <w:p>
      <w:pPr>
        <w:spacing w:after="40" w:before="0" w:line="280"/>
        <w:ind w:left="480" w:hanging="240"/>
      </w:pPr>
      <w:r>
        <w:rPr>
          <w:rFonts w:ascii="Arial" w:cs="Arial" w:eastAsia="楷体" w:hAnsi="Arial"/>
          <w:sz w:val="22"/>
          <w:szCs w:val="22"/>
        </w:rPr>
        <w:t xml:space="preserve">•    • Compassion fatigue from constant exposure to global suffering erodes the empathy global citizenship depends on.</w:t>
      </w:r>
    </w:p>
    <w:p>
      <w:pPr>
        <w:spacing w:after="40" w:before="0" w:line="280"/>
        <w:ind w:left="480" w:hanging="240"/>
      </w:pPr>
      <w:r>
        <w:rPr>
          <w:rFonts w:ascii="Arial" w:cs="Arial" w:eastAsia="楷体" w:hAnsi="Arial"/>
          <w:sz w:val="22"/>
          <w:szCs w:val="22"/>
        </w:rPr>
        <w:t xml:space="preserve">•    • Cross-border problems require political-economic action, not individual awareness — making 'global citizenship' a rhetorical category rather than a practical lever.</w:t>
      </w:r>
    </w:p>
    <w:p>
      <w:pPr>
        <w:spacing w:after="40" w:before="0" w:line="280"/>
        <w:ind w:left="480" w:hanging="240"/>
      </w:pPr>
      <w:r>
        <w:rPr>
          <w:rFonts w:ascii="Arial" w:cs="Arial" w:eastAsia="楷体" w:hAnsi="Arial"/>
          <w:sz w:val="22"/>
          <w:szCs w:val="22"/>
        </w:rPr>
        <w:t xml:space="preserve">•  Either-stance essays should use canonical connectors (首先 / 其次 / 最后 / 综上所述; 不仅...而且) and substantiate each argument with concrete evidence. No fence-sitting — commit to one position and defend it (a brief concession-then-refutation inside the stance is fine and is NOT fence-sitting). No personal anecdotes about friends or family. No overused names (马云 / 乔布斯 / 比尔盖茨).</w:t>
      </w:r>
    </w:p>
    <w:p>
      <w:pPr>
        <w:spacing w:after="40" w:before="0" w:line="280"/>
        <w:ind w:left="480" w:hanging="240"/>
      </w:pPr>
      <w:r>
        <w:rPr>
          <w:rFonts w:ascii="Arial" w:cs="Arial" w:eastAsia="楷体" w:hAnsi="Arial"/>
          <w:sz w:val="22"/>
          <w:szCs w:val="22"/>
        </w:rPr>
        <w:t xml:space="preserve">•  Argumentative essay format: clear thesis statement, 3 distinct arguments, synthesising conclusion. Indicative Band 6 model response (pro-thesis) is shown below; a Band 6 counter-thesis essay following the same structure with comparable evidence quality is equally markable.</w:t>
      </w:r>
    </w:p>
    <w:p>
      <w:pPr>
        <w:sectPr>
          <w:headerReference w:type="default" r:id="rId11"/>
          <w:footerReference w:type="default" r:id="rId12"/>
          <w:pgSz w:w="11906" w:h="16838" w:orient="portrait"/>
          <w:pgMar w:top="1440" w:right="1440" w:bottom="1440" w:left="1440" w:header="708" w:footer="708" w:gutter="0"/>
          <w:pgNumType/>
          <w:docGrid w:linePitch="360"/>
        </w:sectPr>
      </w:pPr>
    </w:p>
    <w:p>
      <w:pPr>
        <w:spacing w:after="240" w:before="240"/>
      </w:pPr>
      <w:r>
        <w:rPr>
          <w:rFonts w:ascii="Arial" w:cs="Arial" w:eastAsia="楷体" w:hAnsi="Arial"/>
          <w:b/>
          <w:bCs/>
          <w:sz w:val="28"/>
          <w:szCs w:val="28"/>
        </w:rPr>
        <w:t xml:space="preserve">Mapping Grid</w:t>
      </w:r>
    </w:p>
    <w:p>
      <w:pPr>
        <w:spacing w:after="120" w:before="0"/>
      </w:pPr>
      <w:r>
        <w:rPr>
          <w:rFonts w:ascii="Arial" w:cs="Arial" w:eastAsia="楷体" w:hAnsi="Arial"/>
          <w:b/>
          <w:bCs/>
          <w:sz w:val="24"/>
          <w:szCs w:val="24"/>
        </w:rPr>
        <w:t xml:space="preserve">Oral Examination</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Question</w:t>
            </w:r>
          </w:p>
        </w:tc>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c>
          <w:tcPr>
            <w:tcW w:type="dxa" w:w="4226"/>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Content / Theme</w:t>
            </w:r>
          </w:p>
        </w:tc>
        <w:tc>
          <w:tcPr>
            <w:tcW w:type="dxa" w:w="24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Syllabus outcomes</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Young people and their relationships — cross-cultural friendships (monologue)</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LCHC6-1, LCHC6-2</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2</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Australian identity — multiculturalism and belonging (monologue)</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LCHC6-1, LCHC6-2</w:t>
            </w:r>
          </w:p>
        </w:tc>
      </w:tr>
    </w:tbl>
    <w:p>
      <w:pPr>
        <w:spacing w:after="0" w:before="240"/>
      </w:pPr>
    </w:p>
    <w:p>
      <w:pPr>
        <w:spacing w:after="120" w:before="0"/>
      </w:pPr>
      <w:r>
        <w:rPr>
          <w:rFonts w:ascii="Arial" w:cs="Arial" w:eastAsia="楷体" w:hAnsi="Arial"/>
          <w:b/>
          <w:bCs/>
          <w:sz w:val="24"/>
          <w:szCs w:val="24"/>
        </w:rPr>
        <w:t xml:space="preserve">Section I — Processing and responding</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Question</w:t>
            </w:r>
          </w:p>
        </w:tc>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c>
          <w:tcPr>
            <w:tcW w:type="dxa" w:w="4226"/>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Content / Theme</w:t>
            </w:r>
          </w:p>
        </w:tc>
        <w:tc>
          <w:tcPr>
            <w:tcW w:type="dxa" w:w="24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Syllabus outcomes</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4</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Traditions and values in contemporary society — conversation</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LCHC6-3, LCHC6-4</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2</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6</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The individual as a global citizen — radio broadcast</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LCHC6-3, LCHC6-6</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3</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8</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Young people and their relationships — podcast and blog</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LCHC6-4, LCHC6-6, LCHC6-9</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4</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Australian identity — newspaper article</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LCHC6-4, LCHC6-6</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5</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The nature of work — script of an interview</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LCHC6-5, LCHC6-7</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6</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12</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Traditions and values in contemporary society — notice and group chat</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LCHC6-4, LCHC6-6</w:t>
            </w:r>
          </w:p>
        </w:tc>
      </w:tr>
    </w:tbl>
    <w:p>
      <w:pPr>
        <w:spacing w:after="0" w:before="240"/>
      </w:pPr>
    </w:p>
    <w:p>
      <w:pPr>
        <w:spacing w:after="120" w:before="0"/>
      </w:pPr>
      <w:r>
        <w:rPr>
          <w:rFonts w:ascii="Arial" w:cs="Arial" w:eastAsia="楷体" w:hAnsi="Arial"/>
          <w:b/>
          <w:bCs/>
          <w:sz w:val="24"/>
          <w:szCs w:val="24"/>
        </w:rPr>
        <w:t xml:space="preserve">Section II — Composing texts</w:t>
      </w:r>
    </w:p>
    <w:tbl>
      <w:tblPr>
        <w:tblW w:type="dxa" w:w="9026"/>
        <w:tblBorders>
          <w:top w:val="single" w:color="000000" w:sz="4"/>
          <w:left w:val="single" w:color="000000" w:sz="4"/>
          <w:bottom w:val="single" w:color="000000" w:sz="4"/>
          <w:right w:val="single" w:color="000000" w:sz="4"/>
          <w:insideH w:val="single" w:color="000000" w:sz="4"/>
          <w:insideV w:val="single" w:color="000000" w:sz="4"/>
        </w:tblBorders>
      </w:tblPr>
      <w:tblGrid>
        <w:gridCol w:w="100"/>
        <w:gridCol w:w="100"/>
        <w:gridCol w:w="100"/>
        <w:gridCol w:w="100"/>
      </w:tblGrid>
      <w:tr>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Question</w:t>
            </w:r>
          </w:p>
        </w:tc>
        <w:tc>
          <w:tcPr>
            <w:tcW w:type="dxa" w:w="12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center"/>
            </w:pPr>
            <w:r>
              <w:rPr>
                <w:rFonts w:ascii="Arial" w:cs="Arial" w:eastAsia="楷体" w:hAnsi="Arial"/>
                <w:b/>
                <w:bCs/>
                <w:sz w:val="22"/>
                <w:szCs w:val="22"/>
              </w:rPr>
              <w:t xml:space="preserve">Marks</w:t>
            </w:r>
          </w:p>
        </w:tc>
        <w:tc>
          <w:tcPr>
            <w:tcW w:type="dxa" w:w="4226"/>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Content / Theme</w:t>
            </w:r>
          </w:p>
        </w:tc>
        <w:tc>
          <w:tcPr>
            <w:tcW w:type="dxa" w:w="2400"/>
            <w:tcBorders>
              <w:top w:val="single" w:color="000000" w:sz="4"/>
              <w:left w:val="single" w:color="000000" w:sz="4"/>
              <w:bottom w:val="single" w:color="000000" w:sz="4"/>
              <w:right w:val="single" w:color="000000" w:sz="4"/>
            </w:tcBorders>
            <w:tcMar>
              <w:top w:type="dxa" w:w="100"/>
              <w:left w:type="dxa" w:w="120"/>
              <w:bottom w:type="dxa" w:w="100"/>
              <w:right w:type="dxa" w:w="120"/>
            </w:tcMar>
          </w:tcPr>
          <w:p>
            <w:pPr>
              <w:spacing w:after="0" w:before="0"/>
              <w:jc w:val="left"/>
            </w:pPr>
            <w:r>
              <w:rPr>
                <w:rFonts w:ascii="Arial" w:cs="Arial" w:eastAsia="楷体" w:hAnsi="Arial"/>
                <w:b/>
                <w:bCs/>
                <w:sz w:val="22"/>
                <w:szCs w:val="22"/>
              </w:rPr>
              <w:t xml:space="preserve">Syllabus outcomes</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7</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10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The nature of work — diary entry</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LCHC6-8, LCHC6-9</w:t>
            </w:r>
          </w:p>
        </w:tc>
      </w:tr>
      <w:tr>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8</w:t>
            </w:r>
          </w:p>
        </w:tc>
        <w:tc>
          <w:tcPr>
            <w:tcW w:type="dxa" w:w="12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jc w:val="center"/>
            </w:pPr>
            <w:r>
              <w:rPr>
                <w:rFonts w:ascii="Arial" w:cs="Arial" w:eastAsia="楷体" w:hAnsi="Arial"/>
                <w:sz w:val="22"/>
                <w:szCs w:val="22"/>
              </w:rPr>
              <w:t xml:space="preserve">20</w:t>
            </w:r>
          </w:p>
        </w:tc>
        <w:tc>
          <w:tcPr>
            <w:tcW w:type="dxa" w:w="4226"/>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The individual as a global citizen — essay</w:t>
            </w:r>
          </w:p>
        </w:tc>
        <w:tc>
          <w:tcPr>
            <w:tcW w:type="dxa" w:w="2400"/>
            <w:tcBorders>
              <w:top w:val="single" w:color="000000" w:sz="4"/>
              <w:left w:val="single" w:color="000000" w:sz="4"/>
              <w:bottom w:val="single" w:color="000000" w:sz="4"/>
              <w:right w:val="single" w:color="000000" w:sz="4"/>
            </w:tcBorders>
            <w:tcMar>
              <w:top w:type="dxa" w:w="80"/>
              <w:left w:type="dxa" w:w="120"/>
              <w:bottom w:type="dxa" w:w="80"/>
              <w:right w:type="dxa" w:w="120"/>
            </w:tcMar>
          </w:tcPr>
          <w:p>
            <w:pPr>
              <w:spacing w:after="0" w:before="0"/>
            </w:pPr>
            <w:r>
              <w:rPr>
                <w:rFonts w:ascii="Arial" w:cs="Arial" w:eastAsia="楷体" w:hAnsi="Arial"/>
                <w:sz w:val="22"/>
                <w:szCs w:val="22"/>
              </w:rPr>
              <w:t xml:space="preserve">LCHC6-8, LCHC6-9</w:t>
            </w:r>
          </w:p>
        </w:tc>
      </w:tr>
    </w:tbl>
    <w:sectPr>
      <w:headerReference w:type="default" r:id="rId13"/>
      <w:footerReference w:type="default" r:id="rId14"/>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Page </w:t>
    </w:r>
    <w:r>
      <w:rPr>
        <w:rFonts w:ascii="Arial" w:cs="Arial" w:eastAsia="Arial" w:hAnsi="Arial"/>
        <w:sz w:val="20"/>
        <w:szCs w:val="20"/>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rFonts w:ascii="Arial" w:cs="Arial" w:eastAsia="Arial" w:hAnsi="Arial"/>
        <w:b/>
        <w:bCs/>
        <w:sz w:val="20"/>
        <w:szCs w:val="20"/>
      </w:rPr>
      <w:t xml:space="preserve">HSC</w:t>
    </w:r>
    <w:r>
      <w:t xml:space="preserve">   </w:t>
    </w:r>
    <w:r>
      <w:rPr>
        <w:rFonts w:ascii="Arial" w:cs="Arial" w:eastAsia="Arial" w:hAnsi="Arial"/>
        <w:b/>
        <w:bCs/>
        <w:sz w:val="20"/>
        <w:szCs w:val="20"/>
      </w:rPr>
      <w:t xml:space="preserve">Chinese in Context</w:t>
    </w:r>
    <w:r>
      <w:t xml:space="preserve">   </w:t>
    </w:r>
    <w:r>
      <w:rPr>
        <w:rFonts w:ascii="Arial" w:cs="Arial" w:eastAsia="Arial" w:hAnsi="Arial"/>
        <w:b/>
        <w:bCs/>
        <w:sz w:val="20"/>
        <w:szCs w:val="20"/>
      </w:rPr>
      <w:t xml:space="preserve">Marking Guidelines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rFonts w:ascii="Arial" w:cs="Arial" w:eastAsia="Arial" w:hAnsi="Arial"/>
        <w:b/>
        <w:bCs/>
        <w:sz w:val="20"/>
        <w:szCs w:val="20"/>
      </w:rPr>
      <w:t xml:space="preserve">HSC</w:t>
    </w:r>
    <w:r>
      <w:t xml:space="preserve">   </w:t>
    </w:r>
    <w:r>
      <w:rPr>
        <w:rFonts w:ascii="Arial" w:cs="Arial" w:eastAsia="Arial" w:hAnsi="Arial"/>
        <w:b/>
        <w:bCs/>
        <w:sz w:val="20"/>
        <w:szCs w:val="20"/>
      </w:rPr>
      <w:t xml:space="preserve">Chinese in Context</w:t>
    </w:r>
    <w:r>
      <w:t xml:space="preserve">   </w:t>
    </w:r>
    <w:r>
      <w:rPr>
        <w:rFonts w:ascii="Arial" w:cs="Arial" w:eastAsia="Arial" w:hAnsi="Arial"/>
        <w:b/>
        <w:bCs/>
        <w:sz w:val="20"/>
        <w:szCs w:val="20"/>
      </w:rPr>
      <w:t xml:space="preserve">Marking Guidelines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rFonts w:ascii="Arial" w:cs="Arial" w:eastAsia="Arial" w:hAnsi="Arial"/>
        <w:b/>
        <w:bCs/>
        <w:sz w:val="20"/>
        <w:szCs w:val="20"/>
      </w:rPr>
      <w:t xml:space="preserve">HSC</w:t>
    </w:r>
    <w:r>
      <w:t xml:space="preserve">   </w:t>
    </w:r>
    <w:r>
      <w:rPr>
        <w:rFonts w:ascii="Arial" w:cs="Arial" w:eastAsia="Arial" w:hAnsi="Arial"/>
        <w:b/>
        <w:bCs/>
        <w:sz w:val="20"/>
        <w:szCs w:val="20"/>
      </w:rPr>
      <w:t xml:space="preserve">Chinese in Context</w:t>
    </w:r>
    <w:r>
      <w:t xml:space="preserve">   </w:t>
    </w:r>
    <w:r>
      <w:rPr>
        <w:rFonts w:ascii="Arial" w:cs="Arial" w:eastAsia="Arial" w:hAnsi="Arial"/>
        <w:b/>
        <w:bCs/>
        <w:sz w:val="20"/>
        <w:szCs w:val="20"/>
      </w:rPr>
      <w:t xml:space="preserve">Marking Guidelines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center"/>
    </w:pPr>
    <w:r>
      <w:rPr>
        <w:rFonts w:ascii="Arial" w:cs="Arial" w:eastAsia="Arial" w:hAnsi="Arial"/>
        <w:b/>
        <w:bCs/>
        <w:sz w:val="20"/>
        <w:szCs w:val="20"/>
      </w:rPr>
      <w:t xml:space="preserve">HSC</w:t>
    </w:r>
    <w:r>
      <w:t xml:space="preserve">   </w:t>
    </w:r>
    <w:r>
      <w:rPr>
        <w:rFonts w:ascii="Arial" w:cs="Arial" w:eastAsia="Arial" w:hAnsi="Arial"/>
        <w:b/>
        <w:bCs/>
        <w:sz w:val="20"/>
        <w:szCs w:val="20"/>
      </w:rPr>
      <w:t xml:space="preserve">Chinese in Context</w:t>
    </w:r>
    <w:r>
      <w:t xml:space="preserve">   </w:t>
    </w:r>
    <w:r>
      <w:rPr>
        <w:rFonts w:ascii="Arial" w:cs="Arial" w:eastAsia="Arial" w:hAnsi="Arial"/>
        <w:b/>
        <w:bCs/>
        <w:sz w:val="20"/>
        <w:szCs w:val="20"/>
      </w:rPr>
      <w:t xml:space="preserve">Marking Guidelines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header" Target="header2.xml"/><Relationship Id="rId10" Type="http://schemas.openxmlformats.org/officeDocument/2006/relationships/footer" Target="footer2.xml"/><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header" Target="header4.xml"/><Relationship Id="rId14" Type="http://schemas.openxmlformats.org/officeDocument/2006/relationships/footer" Target="footer4.xml"/><Relationship Id="rId15" Type="http://schemas.openxmlformats.org/officeDocument/2006/relationships/fontTable" Target="fontTable.xml"/><Relationship Id="rId16" Type="http://schemas.openxmlformats.org/officeDocument/2006/relationships/image" Target="media/image1.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2026-06-30T08:51:26.567Z</dcterms:created>
  <dcterms:modified xsi:type="dcterms:W3CDTF">2026-06-30T08:51:26.568Z</dcterms:modified>
</cp:coreProperties>
</file>

<file path=docProps/custom.xml><?xml version="1.0" encoding="utf-8"?>
<Properties xmlns="http://schemas.openxmlformats.org/officeDocument/2006/custom-properties" xmlns:vt="http://schemas.openxmlformats.org/officeDocument/2006/docPropsVTypes"/>
</file>